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D6E3F" w14:textId="77777777" w:rsidR="00ED54F7" w:rsidRDefault="00ED54F7" w:rsidP="00ED54F7">
      <w:pPr>
        <w:spacing w:before="216" w:after="216" w:line="336" w:lineRule="atLeast"/>
        <w:outlineLvl w:val="2"/>
        <w:rPr>
          <w:rFonts w:eastAsia="Times New Roman"/>
          <w:color w:val="333333"/>
          <w:sz w:val="26"/>
          <w:szCs w:val="26"/>
          <w:lang w:eastAsia="en-CA"/>
        </w:rPr>
      </w:pPr>
      <w:r w:rsidRPr="54652252">
        <w:rPr>
          <w:rFonts w:eastAsia="Times New Roman"/>
          <w:color w:val="333333"/>
          <w:sz w:val="26"/>
          <w:szCs w:val="26"/>
          <w:lang w:eastAsia="en-CA"/>
        </w:rPr>
        <w:t xml:space="preserve">The two sample settlement statements identify how Charge Type (CT) 1115 will appear under two different scenarios: </w:t>
      </w:r>
    </w:p>
    <w:p w14:paraId="0ACB3EA2" w14:textId="77777777" w:rsidR="00ED54F7" w:rsidRDefault="00ED54F7" w:rsidP="00ED54F7">
      <w:pPr>
        <w:pStyle w:val="ListParagraph"/>
        <w:numPr>
          <w:ilvl w:val="0"/>
          <w:numId w:val="1"/>
        </w:numPr>
        <w:spacing w:before="216" w:after="216" w:line="336" w:lineRule="atLeast"/>
        <w:outlineLvl w:val="2"/>
        <w:rPr>
          <w:rFonts w:eastAsia="Times New Roman"/>
          <w:color w:val="333333"/>
          <w:sz w:val="26"/>
          <w:szCs w:val="26"/>
          <w:lang w:eastAsia="en-CA"/>
        </w:rPr>
      </w:pPr>
      <w:r w:rsidRPr="54652252">
        <w:rPr>
          <w:rFonts w:eastAsia="Times New Roman"/>
          <w:color w:val="333333"/>
          <w:sz w:val="26"/>
          <w:szCs w:val="26"/>
          <w:lang w:eastAsia="en-CA"/>
        </w:rPr>
        <w:t xml:space="preserve">A trade date of August 21, </w:t>
      </w:r>
      <w:proofErr w:type="gramStart"/>
      <w:r w:rsidRPr="54652252">
        <w:rPr>
          <w:rFonts w:eastAsia="Times New Roman"/>
          <w:color w:val="333333"/>
          <w:sz w:val="26"/>
          <w:szCs w:val="26"/>
          <w:lang w:eastAsia="en-CA"/>
        </w:rPr>
        <w:t>2024</w:t>
      </w:r>
      <w:proofErr w:type="gramEnd"/>
      <w:r w:rsidRPr="54652252">
        <w:rPr>
          <w:rFonts w:eastAsia="Times New Roman"/>
          <w:color w:val="333333"/>
          <w:sz w:val="26"/>
          <w:szCs w:val="26"/>
          <w:lang w:eastAsia="en-CA"/>
        </w:rPr>
        <w:t xml:space="preserve"> representing settlement of charge type 1115 using the Day-Ahead Market (DAM) Ontario Zonal Price (OZP) and Load Forecast Deviation Adjustment (LFDA) </w:t>
      </w:r>
    </w:p>
    <w:p w14:paraId="322E74DD" w14:textId="77777777" w:rsidR="00ED54F7" w:rsidRDefault="00ED54F7" w:rsidP="00ED54F7">
      <w:pPr>
        <w:pStyle w:val="ListParagraph"/>
        <w:numPr>
          <w:ilvl w:val="0"/>
          <w:numId w:val="1"/>
        </w:numPr>
        <w:spacing w:before="216" w:after="216" w:line="336" w:lineRule="atLeast"/>
        <w:outlineLvl w:val="2"/>
        <w:rPr>
          <w:rFonts w:eastAsia="Times New Roman"/>
          <w:color w:val="333333"/>
          <w:sz w:val="26"/>
          <w:szCs w:val="26"/>
          <w:lang w:eastAsia="en-CA"/>
        </w:rPr>
      </w:pPr>
      <w:r w:rsidRPr="54652252">
        <w:rPr>
          <w:rFonts w:eastAsia="Times New Roman"/>
          <w:color w:val="333333"/>
          <w:sz w:val="26"/>
          <w:szCs w:val="26"/>
          <w:lang w:eastAsia="en-CA"/>
        </w:rPr>
        <w:t xml:space="preserve">A trade date of August 20, </w:t>
      </w:r>
      <w:proofErr w:type="gramStart"/>
      <w:r w:rsidRPr="54652252">
        <w:rPr>
          <w:rFonts w:eastAsia="Times New Roman"/>
          <w:color w:val="333333"/>
          <w:sz w:val="26"/>
          <w:szCs w:val="26"/>
          <w:lang w:eastAsia="en-CA"/>
        </w:rPr>
        <w:t>2024</w:t>
      </w:r>
      <w:proofErr w:type="gramEnd"/>
      <w:r w:rsidRPr="54652252">
        <w:rPr>
          <w:rFonts w:eastAsia="Times New Roman"/>
          <w:color w:val="333333"/>
          <w:sz w:val="26"/>
          <w:szCs w:val="26"/>
          <w:lang w:eastAsia="en-CA"/>
        </w:rPr>
        <w:t xml:space="preserve"> representing settlement of charge type 1115 using the Real-Time (RT) OZP as would be required in the event of a DAM failure.</w:t>
      </w:r>
    </w:p>
    <w:p w14:paraId="4F664EAE" w14:textId="77777777" w:rsidR="00010B13" w:rsidRDefault="00010B13"/>
    <w:sectPr w:rsidR="00010B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700E6C"/>
    <w:multiLevelType w:val="hybridMultilevel"/>
    <w:tmpl w:val="71E0F7E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53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4F7"/>
    <w:rsid w:val="00010B13"/>
    <w:rsid w:val="00BC7CEF"/>
    <w:rsid w:val="00D866FF"/>
    <w:rsid w:val="00ED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DDA31"/>
  <w15:chartTrackingRefBased/>
  <w15:docId w15:val="{1100130B-EFE6-4BEE-9702-2D7806398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4F7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4F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4F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5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4F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4F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4F7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4F7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54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4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4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4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5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5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54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4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54F7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4F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4F7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4F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>IESO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Sidalak</dc:creator>
  <cp:keywords/>
  <dc:description/>
  <cp:lastModifiedBy>Cynthia Sidalak</cp:lastModifiedBy>
  <cp:revision>1</cp:revision>
  <dcterms:created xsi:type="dcterms:W3CDTF">2024-09-12T20:35:00Z</dcterms:created>
  <dcterms:modified xsi:type="dcterms:W3CDTF">2024-09-12T20:36:00Z</dcterms:modified>
</cp:coreProperties>
</file>